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45983" w14:textId="2DDF245B" w:rsidR="009A56DC" w:rsidRPr="00174434" w:rsidRDefault="009A56DC" w:rsidP="00C6162F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mk-MK"/>
        </w:rPr>
      </w:pPr>
      <w:proofErr w:type="spellStart"/>
      <w:r w:rsidRPr="00174434">
        <w:rPr>
          <w:rFonts w:ascii="Calibri" w:hAnsi="Calibri" w:cs="Calibri"/>
          <w:b/>
          <w:bCs/>
          <w:sz w:val="24"/>
          <w:szCs w:val="24"/>
        </w:rPr>
        <w:t>Хотел</w:t>
      </w:r>
      <w:proofErr w:type="spellEnd"/>
      <w:r w:rsidRPr="00174434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174434">
        <w:rPr>
          <w:rFonts w:ascii="Calibri" w:hAnsi="Calibri" w:cs="Calibri"/>
          <w:b/>
          <w:bCs/>
          <w:sz w:val="24"/>
          <w:szCs w:val="24"/>
        </w:rPr>
        <w:t>Акрополис</w:t>
      </w:r>
      <w:proofErr w:type="spellEnd"/>
      <w:r w:rsidRPr="00174434">
        <w:rPr>
          <w:rFonts w:ascii="Calibri" w:hAnsi="Calibri" w:cs="Calibri"/>
          <w:b/>
          <w:bCs/>
          <w:sz w:val="24"/>
          <w:szCs w:val="24"/>
        </w:rPr>
        <w:t xml:space="preserve"> – </w:t>
      </w:r>
      <w:proofErr w:type="spellStart"/>
      <w:r w:rsidRPr="00174434">
        <w:rPr>
          <w:rFonts w:ascii="Calibri" w:hAnsi="Calibri" w:cs="Calibri"/>
          <w:b/>
          <w:bCs/>
          <w:sz w:val="24"/>
          <w:szCs w:val="24"/>
        </w:rPr>
        <w:t>Фурка</w:t>
      </w:r>
      <w:proofErr w:type="spellEnd"/>
      <w:r w:rsidRPr="00174434">
        <w:rPr>
          <w:rFonts w:ascii="Calibri" w:hAnsi="Calibri" w:cs="Calibri"/>
          <w:b/>
          <w:bCs/>
          <w:sz w:val="24"/>
          <w:szCs w:val="24"/>
        </w:rPr>
        <w:t xml:space="preserve"> 2025</w:t>
      </w:r>
    </w:p>
    <w:p w14:paraId="7C62E2BD" w14:textId="181AC524" w:rsidR="00C6162F" w:rsidRDefault="009A56DC" w:rsidP="00D4172A">
      <w:pPr>
        <w:spacing w:after="0"/>
        <w:rPr>
          <w:rFonts w:ascii="Calibri" w:hAnsi="Calibri" w:cs="Calibri"/>
          <w:sz w:val="20"/>
          <w:szCs w:val="20"/>
        </w:rPr>
      </w:pPr>
      <w:r w:rsidRPr="00D4172A">
        <w:rPr>
          <w:rFonts w:ascii="Calibri" w:hAnsi="Calibri" w:cs="Calibri"/>
          <w:sz w:val="20"/>
          <w:szCs w:val="20"/>
          <w:lang w:val="mk-MK"/>
        </w:rPr>
        <w:t>Фурка е рустично село со камени куќи и капели, вклучувајќи ги и остатоците од храмот на Свети Јован од византиската ера. Лежерните таверни околу главниот плоштад овде служат  јадења од морска храна. Патеките низ околните маслинови градини, борови шуми и ливади водат до блиското одморалиште Скала Фуркас, каде што популарните барови на брегот и западните точки за гледање на зајдисонце гледаат на Термаичкиот залив.</w:t>
      </w:r>
      <w:r w:rsidR="00D4172A" w:rsidRPr="00D4172A">
        <w:rPr>
          <w:rFonts w:ascii="Calibri" w:hAnsi="Calibri" w:cs="Calibri"/>
          <w:sz w:val="20"/>
          <w:szCs w:val="20"/>
          <w:lang w:val="mk-MK"/>
        </w:rPr>
        <w:t xml:space="preserve"> </w:t>
      </w:r>
      <w:r w:rsidRPr="00D4172A">
        <w:rPr>
          <w:rFonts w:ascii="Calibri" w:hAnsi="Calibri" w:cs="Calibri"/>
          <w:sz w:val="20"/>
          <w:szCs w:val="20"/>
          <w:lang w:val="mk-MK"/>
        </w:rPr>
        <w:t>Плажата Фурка или Скала Фуркас е со сино знаме, долга 2,5 километри и е прилично пространа и не толку преполна.Секој што поминува време во Фурка ќе открие дека местото е многу гостопримливо, обезбедувајќи пријатен престој во модерна средина.</w:t>
      </w:r>
      <w:r w:rsidR="00B57DAE" w:rsidRPr="00B57DAE">
        <w:rPr>
          <w:rFonts w:ascii="Calibri" w:hAnsi="Calibri" w:cs="Calibri"/>
          <w:sz w:val="20"/>
          <w:szCs w:val="20"/>
          <w:lang w:val="mk-MK"/>
        </w:rPr>
        <w:t xml:space="preserve"> </w:t>
      </w:r>
      <w:r w:rsidRPr="00D4172A">
        <w:rPr>
          <w:rFonts w:ascii="Calibri" w:hAnsi="Calibri" w:cs="Calibri"/>
          <w:sz w:val="20"/>
          <w:szCs w:val="20"/>
          <w:lang w:val="mk-MK"/>
        </w:rPr>
        <w:t>Хотел-Акрополис  3*се наоѓа во Фурка, на околу 200 метри од најблиската песочна плажа. Обезбедува услуга за ноќевање, ноќевање со појадок или полупансион. Хотелот има и сопствен бар на плажа, каде што е можно користење лежалки и чадори со задолжителна потрошувачка во барот. Хотелот се наоѓа на локација каде имате прекрасен поглед на цела долина, како и поглед на море. Центарот на градот е оддалечен околу 900 метри од хотелот, а тоа е и оддалеченост од ресторани, кафулиња и продавници.Сместувачките единици се климатизирани (климата е вклучена во цена), а гостите имаат на располагање бесплатен Wi-Fi интернет, телевизор со рамен екран, како и кујна, стандарден фрижидер со преграда за замрзнување. Бањите имаат туш без завеса, а некои единици имаат и туш со завеса. Верандите и балконите се опремени за седење. Сите соби имаат поглед на море, базенот или градината.Во украсениот двор на гостите им се на располагање бар и голем базен, а гостите можат бесплатно да користат лежалки и чадори. На песочната плажа има хотелски бар, а гостите можат да користат лежалки и чадори заедно со нарачани пијалоци или храна. Чистењето, како и менувањето постелнина и крпи, се врши на половина период од престојот. Во ова сместување НЕ се дозволени домашни миленици. Обезбеден е паркинг простор за гостите. Студиата се опремени со еден брачен или два единечни лежаи и една софа на спуштање.</w:t>
      </w:r>
    </w:p>
    <w:tbl>
      <w:tblPr>
        <w:tblW w:w="3595" w:type="dxa"/>
        <w:jc w:val="center"/>
        <w:tblLook w:val="04A0" w:firstRow="1" w:lastRow="0" w:firstColumn="1" w:lastColumn="0" w:noHBand="0" w:noVBand="1"/>
      </w:tblPr>
      <w:tblGrid>
        <w:gridCol w:w="1795"/>
        <w:gridCol w:w="1800"/>
      </w:tblGrid>
      <w:tr w:rsidR="00C6162F" w:rsidRPr="00C6162F" w14:paraId="43CB5047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081B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термин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CA93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1/2+2 </w:t>
            </w:r>
            <w:proofErr w:type="spellStart"/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Студио</w:t>
            </w:r>
            <w:proofErr w:type="spellEnd"/>
          </w:p>
        </w:tc>
      </w:tr>
      <w:tr w:rsidR="00C6162F" w:rsidRPr="00C6162F" w14:paraId="07A67F19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9CB1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01.06-08.06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1787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203</w:t>
            </w:r>
          </w:p>
        </w:tc>
      </w:tr>
      <w:tr w:rsidR="00C6162F" w:rsidRPr="00C6162F" w14:paraId="4D2C67F5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88AC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08.06-15.06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F6DE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219</w:t>
            </w:r>
          </w:p>
        </w:tc>
      </w:tr>
      <w:tr w:rsidR="00C6162F" w:rsidRPr="00C6162F" w14:paraId="08A67A7D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FC85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15.06-22.06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3DFB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289</w:t>
            </w:r>
          </w:p>
        </w:tc>
      </w:tr>
      <w:tr w:rsidR="00C6162F" w:rsidRPr="00C6162F" w14:paraId="670C1621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B8A4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22.06-29.06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645D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369</w:t>
            </w:r>
          </w:p>
        </w:tc>
      </w:tr>
      <w:tr w:rsidR="00C6162F" w:rsidRPr="00C6162F" w14:paraId="719F7B72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E1BA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29.06-06.07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926E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429</w:t>
            </w:r>
          </w:p>
        </w:tc>
      </w:tr>
      <w:tr w:rsidR="00C6162F" w:rsidRPr="00C6162F" w14:paraId="641BBD4B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BD6D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06.07-13.07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BF90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499</w:t>
            </w:r>
          </w:p>
        </w:tc>
      </w:tr>
      <w:tr w:rsidR="00C6162F" w:rsidRPr="00C6162F" w14:paraId="5344C3A1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D91D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13.07-20.07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F279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529</w:t>
            </w:r>
          </w:p>
        </w:tc>
      </w:tr>
      <w:tr w:rsidR="00C6162F" w:rsidRPr="00C6162F" w14:paraId="61423C1F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CFC2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20.07-27.07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F7E8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599</w:t>
            </w:r>
          </w:p>
        </w:tc>
      </w:tr>
      <w:tr w:rsidR="00C6162F" w:rsidRPr="00C6162F" w14:paraId="7E48F2BB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5DFC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27.07-03.08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5588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599</w:t>
            </w:r>
          </w:p>
        </w:tc>
      </w:tr>
      <w:tr w:rsidR="00C6162F" w:rsidRPr="00C6162F" w14:paraId="04737081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F634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03.08-10.08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15EA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599</w:t>
            </w:r>
          </w:p>
        </w:tc>
      </w:tr>
      <w:tr w:rsidR="00C6162F" w:rsidRPr="00C6162F" w14:paraId="6DBD24D4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A4B5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10.08-17.08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9528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599</w:t>
            </w:r>
          </w:p>
        </w:tc>
      </w:tr>
      <w:tr w:rsidR="00C6162F" w:rsidRPr="00C6162F" w14:paraId="022C51D3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B841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17.08-24.08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43FE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599</w:t>
            </w:r>
          </w:p>
        </w:tc>
      </w:tr>
      <w:tr w:rsidR="00C6162F" w:rsidRPr="00C6162F" w14:paraId="5A4A1D76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CA5D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24.08-31.08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5343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529</w:t>
            </w:r>
          </w:p>
        </w:tc>
      </w:tr>
      <w:tr w:rsidR="00C6162F" w:rsidRPr="00C6162F" w14:paraId="64483EDD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15E6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31.08-07.09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172F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419</w:t>
            </w:r>
          </w:p>
        </w:tc>
      </w:tr>
      <w:tr w:rsidR="00C6162F" w:rsidRPr="00C6162F" w14:paraId="3536E855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877E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07.09-14.09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B322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339</w:t>
            </w:r>
          </w:p>
        </w:tc>
      </w:tr>
      <w:tr w:rsidR="00C6162F" w:rsidRPr="00C6162F" w14:paraId="1C3EE3F0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DB93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14.09-21.09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4FF3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323</w:t>
            </w:r>
          </w:p>
        </w:tc>
      </w:tr>
      <w:tr w:rsidR="00C6162F" w:rsidRPr="00C6162F" w14:paraId="5DE14B47" w14:textId="77777777" w:rsidTr="00C6162F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2CAE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21.09-28.09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D56C" w14:textId="77777777" w:rsidR="00C6162F" w:rsidRPr="00C6162F" w:rsidRDefault="00C6162F" w:rsidP="00C61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6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239</w:t>
            </w:r>
          </w:p>
        </w:tc>
      </w:tr>
    </w:tbl>
    <w:p w14:paraId="27906F78" w14:textId="0284A758" w:rsidR="009A56DC" w:rsidRPr="00D4172A" w:rsidRDefault="009A56DC" w:rsidP="00D4172A">
      <w:pPr>
        <w:spacing w:after="0"/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D4172A">
        <w:rPr>
          <w:rFonts w:ascii="Calibri" w:hAnsi="Calibri" w:cs="Calibri"/>
          <w:b/>
          <w:bCs/>
          <w:sz w:val="20"/>
          <w:szCs w:val="20"/>
        </w:rPr>
        <w:t>Што</w:t>
      </w:r>
      <w:proofErr w:type="spellEnd"/>
      <w:r w:rsidRPr="00D4172A">
        <w:rPr>
          <w:rFonts w:ascii="Calibri" w:hAnsi="Calibri" w:cs="Calibri"/>
          <w:b/>
          <w:bCs/>
          <w:sz w:val="20"/>
          <w:szCs w:val="20"/>
        </w:rPr>
        <w:t xml:space="preserve"> е </w:t>
      </w:r>
      <w:proofErr w:type="spellStart"/>
      <w:r w:rsidRPr="00D4172A">
        <w:rPr>
          <w:rFonts w:ascii="Calibri" w:hAnsi="Calibri" w:cs="Calibri"/>
          <w:b/>
          <w:bCs/>
          <w:sz w:val="20"/>
          <w:szCs w:val="20"/>
        </w:rPr>
        <w:t>вклучено</w:t>
      </w:r>
      <w:proofErr w:type="spellEnd"/>
      <w:r w:rsidRPr="00D4172A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b/>
          <w:bCs/>
          <w:sz w:val="20"/>
          <w:szCs w:val="20"/>
        </w:rPr>
        <w:t>во</w:t>
      </w:r>
      <w:proofErr w:type="spellEnd"/>
      <w:r w:rsidRPr="00D4172A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b/>
          <w:bCs/>
          <w:sz w:val="20"/>
          <w:szCs w:val="20"/>
        </w:rPr>
        <w:t>цената</w:t>
      </w:r>
      <w:proofErr w:type="spellEnd"/>
    </w:p>
    <w:p w14:paraId="6B110B6F" w14:textId="77777777" w:rsidR="009A56DC" w:rsidRPr="00D4172A" w:rsidRDefault="009A56DC" w:rsidP="00D4172A">
      <w:pPr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proofErr w:type="spellStart"/>
      <w:r w:rsidRPr="00D4172A">
        <w:rPr>
          <w:rFonts w:ascii="Calibri" w:hAnsi="Calibri" w:cs="Calibri"/>
          <w:sz w:val="20"/>
          <w:szCs w:val="20"/>
        </w:rPr>
        <w:t>Наем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на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студио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за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7 </w:t>
      </w:r>
      <w:proofErr w:type="spellStart"/>
      <w:r w:rsidRPr="00D4172A">
        <w:rPr>
          <w:rFonts w:ascii="Calibri" w:hAnsi="Calibri" w:cs="Calibri"/>
          <w:sz w:val="20"/>
          <w:szCs w:val="20"/>
        </w:rPr>
        <w:t>ноќевања</w:t>
      </w:r>
      <w:proofErr w:type="spellEnd"/>
    </w:p>
    <w:p w14:paraId="07F08E0D" w14:textId="77777777" w:rsidR="009A56DC" w:rsidRPr="00D4172A" w:rsidRDefault="009A56DC" w:rsidP="00D4172A">
      <w:pPr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proofErr w:type="spellStart"/>
      <w:r w:rsidRPr="00D4172A">
        <w:rPr>
          <w:rFonts w:ascii="Calibri" w:hAnsi="Calibri" w:cs="Calibri"/>
          <w:sz w:val="20"/>
          <w:szCs w:val="20"/>
        </w:rPr>
        <w:t>Клима</w:t>
      </w:r>
      <w:proofErr w:type="spellEnd"/>
    </w:p>
    <w:p w14:paraId="32862B6A" w14:textId="77777777" w:rsidR="009A56DC" w:rsidRPr="00D4172A" w:rsidRDefault="009A56DC" w:rsidP="00D4172A">
      <w:pPr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proofErr w:type="spellStart"/>
      <w:r w:rsidRPr="00D4172A">
        <w:rPr>
          <w:rFonts w:ascii="Calibri" w:hAnsi="Calibri" w:cs="Calibri"/>
          <w:sz w:val="20"/>
          <w:szCs w:val="20"/>
        </w:rPr>
        <w:t>Паркинг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простор</w:t>
      </w:r>
      <w:proofErr w:type="spellEnd"/>
    </w:p>
    <w:p w14:paraId="603C5F2B" w14:textId="77777777" w:rsidR="009A56DC" w:rsidRPr="00D4172A" w:rsidRDefault="009A56DC" w:rsidP="00D4172A">
      <w:pPr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proofErr w:type="spellStart"/>
      <w:r w:rsidRPr="00D4172A">
        <w:rPr>
          <w:rFonts w:ascii="Calibri" w:hAnsi="Calibri" w:cs="Calibri"/>
          <w:sz w:val="20"/>
          <w:szCs w:val="20"/>
        </w:rPr>
        <w:t>Базен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D4172A">
        <w:rPr>
          <w:rFonts w:ascii="Calibri" w:hAnsi="Calibri" w:cs="Calibri"/>
          <w:sz w:val="20"/>
          <w:szCs w:val="20"/>
        </w:rPr>
        <w:t>лежалки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D4172A">
        <w:rPr>
          <w:rFonts w:ascii="Calibri" w:hAnsi="Calibri" w:cs="Calibri"/>
          <w:sz w:val="20"/>
          <w:szCs w:val="20"/>
        </w:rPr>
        <w:t>чадори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покрај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базенот</w:t>
      </w:r>
      <w:proofErr w:type="spellEnd"/>
    </w:p>
    <w:p w14:paraId="0C4C4DE1" w14:textId="77777777" w:rsidR="009A56DC" w:rsidRPr="00D4172A" w:rsidRDefault="009A56DC" w:rsidP="00D4172A">
      <w:pPr>
        <w:spacing w:after="0"/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D4172A">
        <w:rPr>
          <w:rFonts w:ascii="Calibri" w:hAnsi="Calibri" w:cs="Calibri"/>
          <w:b/>
          <w:bCs/>
          <w:sz w:val="20"/>
          <w:szCs w:val="20"/>
        </w:rPr>
        <w:lastRenderedPageBreak/>
        <w:t>Што</w:t>
      </w:r>
      <w:proofErr w:type="spellEnd"/>
      <w:r w:rsidRPr="00D4172A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b/>
          <w:bCs/>
          <w:sz w:val="20"/>
          <w:szCs w:val="20"/>
        </w:rPr>
        <w:t>не</w:t>
      </w:r>
      <w:proofErr w:type="spellEnd"/>
      <w:r w:rsidRPr="00D4172A">
        <w:rPr>
          <w:rFonts w:ascii="Calibri" w:hAnsi="Calibri" w:cs="Calibri"/>
          <w:b/>
          <w:bCs/>
          <w:sz w:val="20"/>
          <w:szCs w:val="20"/>
        </w:rPr>
        <w:t xml:space="preserve"> е </w:t>
      </w:r>
      <w:proofErr w:type="spellStart"/>
      <w:r w:rsidRPr="00D4172A">
        <w:rPr>
          <w:rFonts w:ascii="Calibri" w:hAnsi="Calibri" w:cs="Calibri"/>
          <w:b/>
          <w:bCs/>
          <w:sz w:val="20"/>
          <w:szCs w:val="20"/>
        </w:rPr>
        <w:t>вклучено</w:t>
      </w:r>
      <w:proofErr w:type="spellEnd"/>
      <w:r w:rsidRPr="00D4172A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b/>
          <w:bCs/>
          <w:sz w:val="20"/>
          <w:szCs w:val="20"/>
        </w:rPr>
        <w:t>во</w:t>
      </w:r>
      <w:proofErr w:type="spellEnd"/>
      <w:r w:rsidRPr="00D4172A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b/>
          <w:bCs/>
          <w:sz w:val="20"/>
          <w:szCs w:val="20"/>
        </w:rPr>
        <w:t>цената</w:t>
      </w:r>
      <w:proofErr w:type="spellEnd"/>
    </w:p>
    <w:p w14:paraId="6654591F" w14:textId="77777777" w:rsidR="009A56DC" w:rsidRPr="00D4172A" w:rsidRDefault="009A56DC" w:rsidP="00D4172A">
      <w:pPr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proofErr w:type="spellStart"/>
      <w:r w:rsidRPr="00D4172A">
        <w:rPr>
          <w:rFonts w:ascii="Calibri" w:hAnsi="Calibri" w:cs="Calibri"/>
          <w:sz w:val="20"/>
          <w:szCs w:val="20"/>
        </w:rPr>
        <w:t>Лежалки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D4172A">
        <w:rPr>
          <w:rFonts w:ascii="Calibri" w:hAnsi="Calibri" w:cs="Calibri"/>
          <w:sz w:val="20"/>
          <w:szCs w:val="20"/>
        </w:rPr>
        <w:t>чадори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за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на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плажа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со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нарачка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на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кафе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или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пијалок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од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Acropolis Beach Bar.</w:t>
      </w:r>
    </w:p>
    <w:p w14:paraId="4CEBF6CB" w14:textId="77777777" w:rsidR="009A56DC" w:rsidRPr="00D4172A" w:rsidRDefault="009A56DC" w:rsidP="00D4172A">
      <w:pPr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proofErr w:type="spellStart"/>
      <w:r w:rsidRPr="00D4172A">
        <w:rPr>
          <w:rFonts w:ascii="Calibri" w:hAnsi="Calibri" w:cs="Calibri"/>
          <w:sz w:val="20"/>
          <w:szCs w:val="20"/>
        </w:rPr>
        <w:t>Можност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за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доплата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за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појадок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D4172A">
        <w:rPr>
          <w:rFonts w:ascii="Calibri" w:hAnsi="Calibri" w:cs="Calibri"/>
          <w:sz w:val="20"/>
          <w:szCs w:val="20"/>
        </w:rPr>
        <w:t>вечера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во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хотелот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по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цена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од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140е </w:t>
      </w:r>
      <w:proofErr w:type="spellStart"/>
      <w:r w:rsidRPr="00D4172A">
        <w:rPr>
          <w:rFonts w:ascii="Calibri" w:hAnsi="Calibri" w:cs="Calibri"/>
          <w:sz w:val="20"/>
          <w:szCs w:val="20"/>
        </w:rPr>
        <w:t>по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лице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за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7 </w:t>
      </w:r>
      <w:proofErr w:type="spellStart"/>
      <w:r w:rsidRPr="00D4172A">
        <w:rPr>
          <w:rFonts w:ascii="Calibri" w:hAnsi="Calibri" w:cs="Calibri"/>
          <w:sz w:val="20"/>
          <w:szCs w:val="20"/>
        </w:rPr>
        <w:t>дена</w:t>
      </w:r>
      <w:proofErr w:type="spellEnd"/>
      <w:r w:rsidRPr="00D4172A">
        <w:rPr>
          <w:rFonts w:ascii="Calibri" w:hAnsi="Calibri" w:cs="Calibri"/>
          <w:sz w:val="20"/>
          <w:szCs w:val="20"/>
        </w:rPr>
        <w:t>.</w:t>
      </w:r>
    </w:p>
    <w:p w14:paraId="15A5279E" w14:textId="79036181" w:rsidR="009A56DC" w:rsidRPr="00C6162F" w:rsidRDefault="009A56DC" w:rsidP="00C6162F">
      <w:pPr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proofErr w:type="spellStart"/>
      <w:r w:rsidRPr="00D4172A">
        <w:rPr>
          <w:rFonts w:ascii="Calibri" w:hAnsi="Calibri" w:cs="Calibri"/>
          <w:sz w:val="20"/>
          <w:szCs w:val="20"/>
        </w:rPr>
        <w:t>Автобуски</w:t>
      </w:r>
      <w:proofErr w:type="spellEnd"/>
      <w:r w:rsidRPr="00D4172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4172A">
        <w:rPr>
          <w:rFonts w:ascii="Calibri" w:hAnsi="Calibri" w:cs="Calibri"/>
          <w:sz w:val="20"/>
          <w:szCs w:val="20"/>
        </w:rPr>
        <w:t>превоз</w:t>
      </w:r>
      <w:proofErr w:type="spellEnd"/>
    </w:p>
    <w:p w14:paraId="1601C81B" w14:textId="11C0790B" w:rsidR="009A56DC" w:rsidRPr="00D4172A" w:rsidRDefault="009A56DC" w:rsidP="00C6162F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212529"/>
          <w:kern w:val="0"/>
          <w:sz w:val="20"/>
          <w:szCs w:val="20"/>
          <w14:ligatures w14:val="none"/>
        </w:rPr>
      </w:pPr>
      <w:proofErr w:type="spellStart"/>
      <w:r w:rsidRPr="00D4172A">
        <w:rPr>
          <w:rFonts w:ascii="Calibri" w:eastAsia="Times New Roman" w:hAnsi="Calibri" w:cs="Calibri"/>
          <w:b/>
          <w:bCs/>
          <w:color w:val="212529"/>
          <w:kern w:val="0"/>
          <w:sz w:val="20"/>
          <w:szCs w:val="20"/>
          <w14:ligatures w14:val="none"/>
        </w:rPr>
        <w:t>Важно</w:t>
      </w:r>
      <w:proofErr w:type="spellEnd"/>
      <w:r w:rsidR="00C6162F">
        <w:rPr>
          <w:rFonts w:ascii="Calibri" w:eastAsia="Times New Roman" w:hAnsi="Calibri" w:cs="Calibri"/>
          <w:b/>
          <w:bCs/>
          <w:color w:val="212529"/>
          <w:kern w:val="0"/>
          <w:sz w:val="20"/>
          <w:szCs w:val="20"/>
          <w14:ligatures w14:val="none"/>
        </w:rPr>
        <w:t>:</w:t>
      </w:r>
    </w:p>
    <w:p w14:paraId="5D6664E3" w14:textId="35C0C41D" w:rsidR="009A56DC" w:rsidRPr="00D4172A" w:rsidRDefault="009A56DC" w:rsidP="00D4172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Напомена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резервации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попусти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:</w:t>
      </w:r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  <w:t xml:space="preserve">•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бројот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соби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кој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може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резервира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попуст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рани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резервации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ограничен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!</w:t>
      </w:r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  <w:t xml:space="preserve">•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агенцијата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го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задржува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правото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промена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или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прекинување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попустите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пред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наведените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датуми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истекување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  <w:t xml:space="preserve">•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резервациите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направени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еден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попуст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може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комбинират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друг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попуст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!</w:t>
      </w:r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  <w:t xml:space="preserve">•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доколку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уплатата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изврши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навреме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резервацијата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ќе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биде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наплатена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редовна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или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ревидирана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цена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="00C6162F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моментот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наплатата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истото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причина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отказ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постоечката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резервација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  <w:t xml:space="preserve">•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уплатени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два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аранжмани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7+7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ноќи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добивате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7%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попсут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терминот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пониска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цена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овој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попуст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неможе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="00C6162F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комбинира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други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попусти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  <w:t xml:space="preserve">•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случај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отказ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резервациите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уплатени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попуст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рана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уплата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15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дена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пред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патување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уплатените</w:t>
      </w:r>
      <w:proofErr w:type="spellEnd"/>
      <w:r w:rsidR="00C6162F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средства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пренаменуваат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ваучер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следно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патување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Начин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резервирање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правила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отказ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:</w:t>
      </w:r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</w:r>
      <w:r w:rsidRPr="00D4172A">
        <w:rPr>
          <w:rFonts w:ascii="Calibri" w:hAnsi="Calibri" w:cs="Calibri"/>
          <w:sz w:val="20"/>
          <w:szCs w:val="20"/>
        </w:rPr>
        <w:sym w:font="Symbol" w:char="F0B7"/>
      </w:r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Резервација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прави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уплата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30%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од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вкупниот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износ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Доколку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резервацијата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прави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14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или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помалку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денови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пред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датумот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започнување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потребно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е 100%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уплата</w:t>
      </w:r>
      <w:proofErr w:type="spellEnd"/>
      <w:r w:rsidR="00C6162F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вкупниот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износ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</w:r>
      <w:r w:rsidRPr="00D4172A">
        <w:rPr>
          <w:rFonts w:ascii="Calibri" w:hAnsi="Calibri" w:cs="Calibri"/>
          <w:sz w:val="20"/>
          <w:szCs w:val="20"/>
        </w:rPr>
        <w:sym w:font="Symbol" w:char="F0B7"/>
      </w:r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резервација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потребно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дадат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точно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име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презиме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сите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патници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датуми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раѓање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</w:r>
      <w:r w:rsidRPr="00D4172A">
        <w:rPr>
          <w:rFonts w:ascii="Calibri" w:hAnsi="Calibri" w:cs="Calibri"/>
          <w:sz w:val="20"/>
          <w:szCs w:val="20"/>
        </w:rPr>
        <w:sym w:font="Symbol" w:char="F0B7"/>
      </w:r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Корисникот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може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секој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момент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откаже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од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патувањето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тоа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треба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задолжително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го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направи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="00C6162F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писмена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форма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Датумот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писмениот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отказ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претставува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основа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пресметка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наплата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отказните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трошоци</w:t>
      </w:r>
      <w:proofErr w:type="spellEnd"/>
      <w:r w:rsidR="00C6162F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како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надомест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определен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процент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:</w:t>
      </w:r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  <w:t xml:space="preserve">–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отказ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од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60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45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дена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пред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патувањето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наплатува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5%</w:t>
      </w:r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  <w:t xml:space="preserve">–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отказ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од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44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30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дена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пред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патувањето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20%</w:t>
      </w:r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  <w:t xml:space="preserve">–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отказ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од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29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20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дена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пред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патувањето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50%</w:t>
      </w:r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  <w:t xml:space="preserve">–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отказ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од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19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15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дена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пред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патувањето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80%</w:t>
      </w:r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  <w:t xml:space="preserve">–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отказ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од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14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0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дена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пред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патување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или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текот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патувањето</w:t>
      </w:r>
      <w:proofErr w:type="spellEnd"/>
      <w:r w:rsidRPr="00D4172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100%</w:t>
      </w:r>
    </w:p>
    <w:p w14:paraId="5671D6A0" w14:textId="3DCC7C63" w:rsidR="004F5031" w:rsidRPr="00174434" w:rsidRDefault="009A56DC" w:rsidP="0048482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0"/>
          <w:szCs w:val="20"/>
          <w:lang w:val="mk-MK"/>
        </w:rPr>
      </w:pPr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ПРИГОВОРИ И ПОПЛАКИ</w:t>
      </w:r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</w:r>
      <w:r w:rsidRPr="00D4172A">
        <w:rPr>
          <w:rFonts w:ascii="Calibri" w:hAnsi="Calibri" w:cs="Calibri"/>
          <w:sz w:val="20"/>
          <w:szCs w:val="20"/>
        </w:rPr>
        <w:sym w:font="Symbol" w:char="F0B7"/>
      </w:r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случај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неадекватно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сместување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или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било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кој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друг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проблем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молат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патниците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тоа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веднаш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го</w:t>
      </w:r>
      <w:proofErr w:type="spellEnd"/>
      <w:r w:rsidR="00C6162F"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известат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одговорното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лице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рецепцијата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.</w:t>
      </w:r>
      <w:proofErr w:type="gram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Доколку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проблемот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биде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решен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веднаш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треба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истиот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="00C6162F"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извести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ОРГАНИЗАТОРОТ НА ПАТУВАЊЕТО и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уплатното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место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каде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сте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склучиле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Договор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патување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време</w:t>
      </w:r>
      <w:proofErr w:type="spellEnd"/>
      <w:r w:rsidR="00C6162F"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првиот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ден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од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сместувањето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почетокот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овa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програмa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Напоменуваме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дека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рекламации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кои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агенцијата</w:t>
      </w:r>
      <w:proofErr w:type="spellEnd"/>
      <w:r w:rsidR="00C6162F"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ќе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дознае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последниот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ден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од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престојот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или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враќањето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патниците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истите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нема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бидат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земени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="00C6162F"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предвид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или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разгледани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</w:r>
      <w:r w:rsidRPr="00D4172A">
        <w:rPr>
          <w:rFonts w:ascii="Calibri" w:hAnsi="Calibri" w:cs="Calibri"/>
          <w:sz w:val="20"/>
          <w:szCs w:val="20"/>
        </w:rPr>
        <w:sym w:font="Symbol" w:char="F0B7"/>
      </w:r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Организаторот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ја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цени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исправниост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патни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документи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</w:r>
      <w:r w:rsidRPr="00D4172A">
        <w:rPr>
          <w:rFonts w:ascii="Calibri" w:hAnsi="Calibri" w:cs="Calibri"/>
          <w:sz w:val="20"/>
          <w:szCs w:val="20"/>
        </w:rPr>
        <w:sym w:font="Symbol" w:char="F0B7"/>
      </w:r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молиме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случај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било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каков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инцидент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(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кражба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тепачка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сообраќајна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незгода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….),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обратите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="00C6162F"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надлежните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инситуции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земјата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престојот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Организаторот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патувањето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единствено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задолжен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Ви</w:t>
      </w:r>
      <w:proofErr w:type="spellEnd"/>
      <w:r w:rsidR="00C6162F"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помогне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посредување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меѓу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вас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надлежните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институции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</w:r>
      <w:r w:rsidRPr="00D4172A">
        <w:rPr>
          <w:rFonts w:ascii="Calibri" w:hAnsi="Calibri" w:cs="Calibri"/>
          <w:sz w:val="20"/>
          <w:szCs w:val="20"/>
        </w:rPr>
        <w:sym w:font="Symbol" w:char="F0B7"/>
      </w:r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сите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информации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дадени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усно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агенцијата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сноси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одговорност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Составен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дел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од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оваа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програма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Општите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услови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патување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организаторот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патувањето</w:t>
      </w:r>
      <w:proofErr w:type="spellEnd"/>
      <w:r w:rsidRPr="00B57DA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.</w:t>
      </w:r>
    </w:p>
    <w:p w14:paraId="223A3AF4" w14:textId="77777777" w:rsidR="00174434" w:rsidRDefault="00174434" w:rsidP="0017443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9B079A3" w14:textId="77777777" w:rsidR="00174434" w:rsidRPr="00420AEF" w:rsidRDefault="00174434" w:rsidP="00174434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Автобуски превоз:</w:t>
      </w:r>
    </w:p>
    <w:p w14:paraId="6237378E" w14:textId="77777777" w:rsidR="00174434" w:rsidRPr="00420AEF" w:rsidRDefault="00174434" w:rsidP="00174434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 xml:space="preserve">Возрасни: 40е во еден правец, 45е повртен билет </w:t>
      </w:r>
    </w:p>
    <w:p w14:paraId="7B5B3E84" w14:textId="77777777" w:rsidR="00174434" w:rsidRPr="00D50B00" w:rsidRDefault="00174434" w:rsidP="00174434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Деца до 12 години: 30е во еден превец, 35е повратен билет</w:t>
      </w:r>
    </w:p>
    <w:p w14:paraId="767A386C" w14:textId="77777777" w:rsidR="00174434" w:rsidRPr="00420AEF" w:rsidRDefault="00174434" w:rsidP="00174434">
      <w:pPr>
        <w:spacing w:after="0" w:line="240" w:lineRule="auto"/>
        <w:rPr>
          <w:rFonts w:ascii="Calibri" w:hAnsi="Calibri" w:cs="Calibri"/>
          <w:lang w:val="mk-MK"/>
        </w:rPr>
      </w:pPr>
    </w:p>
    <w:p w14:paraId="04DE27FB" w14:textId="751148E2" w:rsidR="00174434" w:rsidRPr="00174434" w:rsidRDefault="00174434" w:rsidP="00174434">
      <w:pPr>
        <w:spacing w:after="0" w:line="240" w:lineRule="auto"/>
        <w:jc w:val="center"/>
        <w:rPr>
          <w:rFonts w:ascii="Calibri" w:hAnsi="Calibri" w:cs="Calibri"/>
          <w:sz w:val="20"/>
          <w:szCs w:val="20"/>
          <w:lang w:val="mk-MK"/>
        </w:rPr>
      </w:pPr>
      <w:r w:rsidRPr="00420AEF">
        <w:rPr>
          <w:rFonts w:ascii="Calibri" w:hAnsi="Calibri" w:cs="Calibri"/>
          <w:lang w:val="mk-MK"/>
        </w:rPr>
        <w:t>ЗА СИТЕ ДОПОЛНИТЕЛНИ ИНФОРМАЦИИ ЗА АКТУЕЛНИ ПОПУСТИ И ПРОМОЦИИ, ПОГЛЕДНЕТЕ ЈА НАШАТА ВЕБ СТРАНА</w:t>
      </w:r>
    </w:p>
    <w:sectPr w:rsidR="00174434" w:rsidRPr="00174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871E4" w14:textId="77777777" w:rsidR="00B57DAE" w:rsidRDefault="00B57DAE" w:rsidP="00B57DAE">
      <w:pPr>
        <w:spacing w:after="0" w:line="240" w:lineRule="auto"/>
      </w:pPr>
      <w:r>
        <w:separator/>
      </w:r>
    </w:p>
  </w:endnote>
  <w:endnote w:type="continuationSeparator" w:id="0">
    <w:p w14:paraId="0268E3B2" w14:textId="77777777" w:rsidR="00B57DAE" w:rsidRDefault="00B57DAE" w:rsidP="00B5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6E300" w14:textId="77777777" w:rsidR="00B57DAE" w:rsidRDefault="00B57DAE" w:rsidP="00B57DAE">
      <w:pPr>
        <w:spacing w:after="0" w:line="240" w:lineRule="auto"/>
      </w:pPr>
      <w:r>
        <w:separator/>
      </w:r>
    </w:p>
  </w:footnote>
  <w:footnote w:type="continuationSeparator" w:id="0">
    <w:p w14:paraId="0F706D1D" w14:textId="77777777" w:rsidR="00B57DAE" w:rsidRDefault="00B57DAE" w:rsidP="00B57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85D04"/>
    <w:multiLevelType w:val="multilevel"/>
    <w:tmpl w:val="73C2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B7B83"/>
    <w:multiLevelType w:val="multilevel"/>
    <w:tmpl w:val="5DE8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4C1672"/>
    <w:multiLevelType w:val="multilevel"/>
    <w:tmpl w:val="98F4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530571">
    <w:abstractNumId w:val="2"/>
  </w:num>
  <w:num w:numId="2" w16cid:durableId="1882132399">
    <w:abstractNumId w:val="0"/>
  </w:num>
  <w:num w:numId="3" w16cid:durableId="43502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DC"/>
    <w:rsid w:val="00174434"/>
    <w:rsid w:val="0036649C"/>
    <w:rsid w:val="004F5031"/>
    <w:rsid w:val="005B3C3E"/>
    <w:rsid w:val="009A56DC"/>
    <w:rsid w:val="00B57DAE"/>
    <w:rsid w:val="00C6162F"/>
    <w:rsid w:val="00D4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A5B7"/>
  <w15:chartTrackingRefBased/>
  <w15:docId w15:val="{4CF7BFE7-2E64-44AB-85AE-CEFCED16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5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6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A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7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DAE"/>
  </w:style>
  <w:style w:type="paragraph" w:styleId="Footer">
    <w:name w:val="footer"/>
    <w:basedOn w:val="Normal"/>
    <w:link w:val="FooterChar"/>
    <w:uiPriority w:val="99"/>
    <w:unhideWhenUsed/>
    <w:rsid w:val="00B57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2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5</cp:revision>
  <dcterms:created xsi:type="dcterms:W3CDTF">2025-01-21T17:24:00Z</dcterms:created>
  <dcterms:modified xsi:type="dcterms:W3CDTF">2025-01-21T17:38:00Z</dcterms:modified>
</cp:coreProperties>
</file>